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C349" w14:textId="77777777" w:rsidR="00C33BBA" w:rsidRPr="00257B83" w:rsidRDefault="00C33BBA" w:rsidP="00C33BBA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7F659B36" w14:textId="77777777" w:rsidR="00C33BBA" w:rsidRPr="00257B83" w:rsidRDefault="00C33BBA" w:rsidP="00C33BBA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377491200" behindDoc="1" locked="0" layoutInCell="1" allowOverlap="1" wp14:anchorId="759AB9D7" wp14:editId="4BD85AF3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780062B2" w14:textId="77777777" w:rsidR="00C33BBA" w:rsidRPr="00257B83" w:rsidRDefault="00C33BBA" w:rsidP="00C33BBA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41D73F13" w14:textId="77777777" w:rsidR="00C33BBA" w:rsidRPr="00257B83" w:rsidRDefault="00C33BBA" w:rsidP="00C33BBA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99B91D8" w14:textId="25F49D9E" w:rsidR="00C33BBA" w:rsidRPr="00257B83" w:rsidRDefault="00013884" w:rsidP="00C33BBA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08D31C62">
          <v:line id="Прямая соединительная линия 2" o:spid="_x0000_s1149" style="position:absolute;left:0;text-align:left;z-index:37748915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6036F26B" w14:textId="77777777" w:rsidR="00C33BBA" w:rsidRPr="00257B83" w:rsidRDefault="00C33BBA" w:rsidP="00C33BBA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6FEE2E4" w14:textId="77777777" w:rsidR="00C33BBA" w:rsidRPr="00257B83" w:rsidRDefault="00C33BBA" w:rsidP="00C33BBA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6B530D82" w14:textId="77777777" w:rsidR="00C33BBA" w:rsidRPr="00257B83" w:rsidRDefault="00C33BBA" w:rsidP="00C33BBA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6C3A1568" w14:textId="77777777" w:rsidR="00C33BBA" w:rsidRPr="00257B83" w:rsidRDefault="00C33BBA" w:rsidP="00C33BBA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0B542741" w14:textId="77777777" w:rsidR="00C33BBA" w:rsidRPr="00257B83" w:rsidRDefault="00C33BBA" w:rsidP="00C33BBA">
      <w:pPr>
        <w:ind w:firstLine="709"/>
        <w:jc w:val="both"/>
        <w:rPr>
          <w:rFonts w:ascii="Times New Roman" w:hAnsi="Times New Roman" w:cs="Times New Roman"/>
        </w:rPr>
      </w:pPr>
    </w:p>
    <w:p w14:paraId="36728E74" w14:textId="77777777" w:rsidR="00C33BBA" w:rsidRPr="00257B83" w:rsidRDefault="00C33BBA" w:rsidP="00C33BBA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377490176" behindDoc="1" locked="0" layoutInCell="1" allowOverlap="1" wp14:anchorId="676E283F" wp14:editId="080AD833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FC790" w14:textId="77777777" w:rsidR="00C33BBA" w:rsidRPr="00257B83" w:rsidRDefault="00C33BBA" w:rsidP="00C33BBA">
      <w:pPr>
        <w:ind w:firstLine="709"/>
        <w:jc w:val="both"/>
        <w:rPr>
          <w:rFonts w:ascii="Times New Roman" w:hAnsi="Times New Roman" w:cs="Times New Roman"/>
        </w:rPr>
      </w:pPr>
    </w:p>
    <w:p w14:paraId="3527CDD5" w14:textId="77777777" w:rsidR="00C33BBA" w:rsidRPr="00257B83" w:rsidRDefault="00C33BBA" w:rsidP="00C33BBA">
      <w:pPr>
        <w:ind w:firstLine="709"/>
        <w:jc w:val="both"/>
        <w:rPr>
          <w:rFonts w:ascii="Times New Roman" w:hAnsi="Times New Roman" w:cs="Times New Roman"/>
        </w:rPr>
      </w:pPr>
    </w:p>
    <w:p w14:paraId="53103B25" w14:textId="77777777" w:rsidR="00C33BBA" w:rsidRPr="00257B83" w:rsidRDefault="00C33BBA" w:rsidP="00C33BBA">
      <w:pPr>
        <w:ind w:firstLine="709"/>
        <w:jc w:val="both"/>
        <w:rPr>
          <w:rFonts w:ascii="Times New Roman" w:hAnsi="Times New Roman" w:cs="Times New Roman"/>
        </w:rPr>
      </w:pPr>
    </w:p>
    <w:p w14:paraId="30B9E152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605C953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7095A62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CDD244B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AC5F7B0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7BBD562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BF5DE27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25857EE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2323686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B62B68F" w14:textId="26A63864" w:rsidR="00C33BBA" w:rsidRPr="006975D4" w:rsidRDefault="00C33BBA" w:rsidP="00C33BBA">
      <w:pPr>
        <w:pStyle w:val="af0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975D4"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Pr="006975D4">
        <w:rPr>
          <w:rFonts w:ascii="Times New Roman" w:eastAsiaTheme="minorHAnsi" w:hAnsi="Times New Roman" w:cs="Times New Roman"/>
          <w:b/>
          <w:sz w:val="28"/>
          <w:szCs w:val="28"/>
        </w:rPr>
        <w:t>Мастер-план разработки вариантов развития схемы теплоснабжения муниципального образования</w:t>
      </w:r>
    </w:p>
    <w:p w14:paraId="6502336F" w14:textId="77777777" w:rsidR="00C33BBA" w:rsidRPr="00257B83" w:rsidRDefault="00C33BBA" w:rsidP="00C33BBA">
      <w:pPr>
        <w:pStyle w:val="af0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207C1EF7" w14:textId="77777777" w:rsidR="00C33BBA" w:rsidRPr="00257B83" w:rsidRDefault="00C33BBA" w:rsidP="00C33BBA">
      <w:pPr>
        <w:jc w:val="center"/>
        <w:rPr>
          <w:rFonts w:ascii="Times New Roman" w:hAnsi="Times New Roman" w:cs="Times New Roman"/>
          <w:b/>
          <w:sz w:val="32"/>
        </w:rPr>
      </w:pPr>
    </w:p>
    <w:p w14:paraId="54BCA3F3" w14:textId="77777777" w:rsidR="00C33BBA" w:rsidRDefault="00C33BBA" w:rsidP="00C33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EA8049" w14:textId="77777777" w:rsidR="00C33BBA" w:rsidRPr="00257B83" w:rsidRDefault="00C33BBA" w:rsidP="00C33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4856A6" w14:textId="77777777" w:rsidR="00C33BBA" w:rsidRPr="00257B83" w:rsidRDefault="00C33BBA" w:rsidP="00C33B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3CB12D" w14:textId="77777777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665F0A7" w14:textId="5D3902AE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F28A9E5" w14:textId="77777777" w:rsidR="006975D4" w:rsidRDefault="006975D4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FCE0052" w14:textId="77777777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CEF38D4" w14:textId="77777777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0642491" w14:textId="77777777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CDB726B" w14:textId="77777777" w:rsidR="00C33BBA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9C13F00" w14:textId="145A9462" w:rsidR="00C33BBA" w:rsidRPr="00007E07" w:rsidRDefault="00C33BBA" w:rsidP="00C33BBA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id w:val="-1978755346"/>
        <w:docPartObj>
          <w:docPartGallery w:val="Table of Contents"/>
          <w:docPartUnique/>
        </w:docPartObj>
      </w:sdtPr>
      <w:sdtEndPr/>
      <w:sdtContent>
        <w:p w14:paraId="381E946B" w14:textId="77777777" w:rsidR="000C6174" w:rsidRPr="000F5975" w:rsidRDefault="000C6174" w:rsidP="006975D4">
          <w:pPr>
            <w:pStyle w:val="40"/>
            <w:shd w:val="clear" w:color="auto" w:fill="auto"/>
            <w:spacing w:after="0" w:line="326" w:lineRule="exact"/>
            <w:ind w:right="5640"/>
            <w:jc w:val="left"/>
            <w:rPr>
              <w:color w:val="auto"/>
            </w:rPr>
          </w:pPr>
          <w:r w:rsidRPr="000F5975">
            <w:rPr>
              <w:color w:val="auto"/>
            </w:rPr>
            <w:t>Оглавление</w:t>
          </w:r>
        </w:p>
        <w:p w14:paraId="12E24C20" w14:textId="7BC82E47" w:rsidR="00D46839" w:rsidRPr="00D46839" w:rsidRDefault="000C6174" w:rsidP="00D46839">
          <w:pPr>
            <w:pStyle w:val="16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D46839">
            <w:rPr>
              <w:rFonts w:ascii="Times New Roman" w:hAnsi="Times New Roman" w:cs="Times New Roman"/>
              <w:bCs/>
            </w:rPr>
            <w:fldChar w:fldCharType="begin"/>
          </w:r>
          <w:r w:rsidRPr="00D46839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D46839">
            <w:rPr>
              <w:rFonts w:ascii="Times New Roman" w:hAnsi="Times New Roman" w:cs="Times New Roman"/>
              <w:bCs/>
            </w:rPr>
            <w:fldChar w:fldCharType="separate"/>
          </w:r>
          <w:hyperlink w:anchor="_Toc148921889" w:history="1"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Общие положения</w:t>
            </w:r>
            <w:r w:rsidR="00D46839" w:rsidRPr="00D46839">
              <w:rPr>
                <w:noProof/>
                <w:webHidden/>
              </w:rPr>
              <w:tab/>
            </w:r>
            <w:r w:rsidR="00D46839" w:rsidRPr="00D46839">
              <w:rPr>
                <w:noProof/>
                <w:webHidden/>
              </w:rPr>
              <w:fldChar w:fldCharType="begin"/>
            </w:r>
            <w:r w:rsidR="00D46839" w:rsidRPr="00D46839">
              <w:rPr>
                <w:noProof/>
                <w:webHidden/>
              </w:rPr>
              <w:instrText xml:space="preserve"> PAGEREF _Toc148921889 \h </w:instrText>
            </w:r>
            <w:r w:rsidR="00D46839" w:rsidRPr="00D46839">
              <w:rPr>
                <w:noProof/>
                <w:webHidden/>
              </w:rPr>
            </w:r>
            <w:r w:rsidR="00D46839" w:rsidRPr="00D46839">
              <w:rPr>
                <w:noProof/>
                <w:webHidden/>
              </w:rPr>
              <w:fldChar w:fldCharType="separate"/>
            </w:r>
            <w:r w:rsidR="00D46839" w:rsidRPr="00D46839">
              <w:rPr>
                <w:noProof/>
                <w:webHidden/>
              </w:rPr>
              <w:t>3</w:t>
            </w:r>
            <w:r w:rsidR="00D46839" w:rsidRPr="00D46839">
              <w:rPr>
                <w:noProof/>
                <w:webHidden/>
              </w:rPr>
              <w:fldChar w:fldCharType="end"/>
            </w:r>
          </w:hyperlink>
        </w:p>
        <w:p w14:paraId="0E8F108A" w14:textId="13F62340" w:rsidR="00D46839" w:rsidRPr="00D46839" w:rsidRDefault="00013884" w:rsidP="00D46839">
          <w:pPr>
            <w:pStyle w:val="16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890" w:history="1"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Задачи мастер-плана</w:t>
            </w:r>
            <w:r w:rsidR="00D46839" w:rsidRPr="00D46839">
              <w:rPr>
                <w:noProof/>
                <w:webHidden/>
              </w:rPr>
              <w:tab/>
            </w:r>
            <w:r w:rsidR="00D46839" w:rsidRPr="00D46839">
              <w:rPr>
                <w:noProof/>
                <w:webHidden/>
              </w:rPr>
              <w:fldChar w:fldCharType="begin"/>
            </w:r>
            <w:r w:rsidR="00D46839" w:rsidRPr="00D46839">
              <w:rPr>
                <w:noProof/>
                <w:webHidden/>
              </w:rPr>
              <w:instrText xml:space="preserve"> PAGEREF _Toc148921890 \h </w:instrText>
            </w:r>
            <w:r w:rsidR="00D46839" w:rsidRPr="00D46839">
              <w:rPr>
                <w:noProof/>
                <w:webHidden/>
              </w:rPr>
            </w:r>
            <w:r w:rsidR="00D46839" w:rsidRPr="00D46839">
              <w:rPr>
                <w:noProof/>
                <w:webHidden/>
              </w:rPr>
              <w:fldChar w:fldCharType="separate"/>
            </w:r>
            <w:r w:rsidR="00D46839" w:rsidRPr="00D46839">
              <w:rPr>
                <w:noProof/>
                <w:webHidden/>
              </w:rPr>
              <w:t>4</w:t>
            </w:r>
            <w:r w:rsidR="00D46839" w:rsidRPr="00D46839">
              <w:rPr>
                <w:noProof/>
                <w:webHidden/>
              </w:rPr>
              <w:fldChar w:fldCharType="end"/>
            </w:r>
          </w:hyperlink>
        </w:p>
        <w:p w14:paraId="217A385B" w14:textId="3CC58950" w:rsidR="00D46839" w:rsidRPr="00D46839" w:rsidRDefault="00013884" w:rsidP="00D46839">
          <w:pPr>
            <w:pStyle w:val="16"/>
            <w:tabs>
              <w:tab w:val="left" w:pos="1540"/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891" w:history="1"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Описание</w:t>
            </w:r>
            <w:r w:rsidR="00D46839" w:rsidRPr="00D4683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вариантов перспективного развития систем теплоснабжения образования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      </w:r>
            <w:r w:rsidR="00D46839" w:rsidRPr="00D46839">
              <w:rPr>
                <w:noProof/>
                <w:webHidden/>
              </w:rPr>
              <w:tab/>
            </w:r>
            <w:r w:rsidR="00D46839" w:rsidRPr="00D46839">
              <w:rPr>
                <w:noProof/>
                <w:webHidden/>
              </w:rPr>
              <w:fldChar w:fldCharType="begin"/>
            </w:r>
            <w:r w:rsidR="00D46839" w:rsidRPr="00D46839">
              <w:rPr>
                <w:noProof/>
                <w:webHidden/>
              </w:rPr>
              <w:instrText xml:space="preserve"> PAGEREF _Toc148921891 \h </w:instrText>
            </w:r>
            <w:r w:rsidR="00D46839" w:rsidRPr="00D46839">
              <w:rPr>
                <w:noProof/>
                <w:webHidden/>
              </w:rPr>
            </w:r>
            <w:r w:rsidR="00D46839" w:rsidRPr="00D46839">
              <w:rPr>
                <w:noProof/>
                <w:webHidden/>
              </w:rPr>
              <w:fldChar w:fldCharType="separate"/>
            </w:r>
            <w:r w:rsidR="00D46839" w:rsidRPr="00D46839">
              <w:rPr>
                <w:noProof/>
                <w:webHidden/>
              </w:rPr>
              <w:t>5</w:t>
            </w:r>
            <w:r w:rsidR="00D46839" w:rsidRPr="00D46839">
              <w:rPr>
                <w:noProof/>
                <w:webHidden/>
              </w:rPr>
              <w:fldChar w:fldCharType="end"/>
            </w:r>
          </w:hyperlink>
        </w:p>
        <w:p w14:paraId="68D0B3B4" w14:textId="42FB43CB" w:rsidR="00D46839" w:rsidRPr="00D46839" w:rsidRDefault="00013884" w:rsidP="00D46839">
          <w:pPr>
            <w:pStyle w:val="16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892" w:history="1"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Технико-экономическое сравнение вариантов перспективного развития систем теплоснабжения образования</w:t>
            </w:r>
            <w:r w:rsidR="00D46839" w:rsidRPr="00D46839">
              <w:rPr>
                <w:noProof/>
                <w:webHidden/>
              </w:rPr>
              <w:tab/>
            </w:r>
            <w:r w:rsidR="00D46839" w:rsidRPr="00D46839">
              <w:rPr>
                <w:noProof/>
                <w:webHidden/>
              </w:rPr>
              <w:fldChar w:fldCharType="begin"/>
            </w:r>
            <w:r w:rsidR="00D46839" w:rsidRPr="00D46839">
              <w:rPr>
                <w:noProof/>
                <w:webHidden/>
              </w:rPr>
              <w:instrText xml:space="preserve"> PAGEREF _Toc148921892 \h </w:instrText>
            </w:r>
            <w:r w:rsidR="00D46839" w:rsidRPr="00D46839">
              <w:rPr>
                <w:noProof/>
                <w:webHidden/>
              </w:rPr>
            </w:r>
            <w:r w:rsidR="00D46839" w:rsidRPr="00D46839">
              <w:rPr>
                <w:noProof/>
                <w:webHidden/>
              </w:rPr>
              <w:fldChar w:fldCharType="separate"/>
            </w:r>
            <w:r w:rsidR="00D46839" w:rsidRPr="00D46839">
              <w:rPr>
                <w:noProof/>
                <w:webHidden/>
              </w:rPr>
              <w:t>6</w:t>
            </w:r>
            <w:r w:rsidR="00D46839" w:rsidRPr="00D46839">
              <w:rPr>
                <w:noProof/>
                <w:webHidden/>
              </w:rPr>
              <w:fldChar w:fldCharType="end"/>
            </w:r>
          </w:hyperlink>
        </w:p>
        <w:p w14:paraId="298AE685" w14:textId="4ED47A42" w:rsidR="00D46839" w:rsidRPr="00D46839" w:rsidRDefault="00013884" w:rsidP="00D46839">
          <w:pPr>
            <w:pStyle w:val="16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893" w:history="1">
            <w:r w:rsidR="00D46839" w:rsidRPr="00D46839">
              <w:rPr>
                <w:rStyle w:val="a3"/>
                <w:rFonts w:ascii="Times New Roman" w:hAnsi="Times New Roman" w:cs="Times New Roman"/>
                <w:noProof/>
              </w:rPr>
              <w:t>Обоснование выбора приоритетного варианта перспективного развития систем теплоснабжения образования на основе анализа ценовых (тарифных) последствий для потребителей</w:t>
            </w:r>
            <w:r w:rsidR="00D46839" w:rsidRPr="00D46839">
              <w:rPr>
                <w:noProof/>
                <w:webHidden/>
              </w:rPr>
              <w:tab/>
            </w:r>
            <w:r w:rsidR="00D46839" w:rsidRPr="00D46839">
              <w:rPr>
                <w:noProof/>
                <w:webHidden/>
              </w:rPr>
              <w:fldChar w:fldCharType="begin"/>
            </w:r>
            <w:r w:rsidR="00D46839" w:rsidRPr="00D46839">
              <w:rPr>
                <w:noProof/>
                <w:webHidden/>
              </w:rPr>
              <w:instrText xml:space="preserve"> PAGEREF _Toc148921893 \h </w:instrText>
            </w:r>
            <w:r w:rsidR="00D46839" w:rsidRPr="00D46839">
              <w:rPr>
                <w:noProof/>
                <w:webHidden/>
              </w:rPr>
            </w:r>
            <w:r w:rsidR="00D46839" w:rsidRPr="00D46839">
              <w:rPr>
                <w:noProof/>
                <w:webHidden/>
              </w:rPr>
              <w:fldChar w:fldCharType="separate"/>
            </w:r>
            <w:r w:rsidR="00D46839" w:rsidRPr="00D46839">
              <w:rPr>
                <w:noProof/>
                <w:webHidden/>
              </w:rPr>
              <w:t>6</w:t>
            </w:r>
            <w:r w:rsidR="00D46839" w:rsidRPr="00D46839">
              <w:rPr>
                <w:noProof/>
                <w:webHidden/>
              </w:rPr>
              <w:fldChar w:fldCharType="end"/>
            </w:r>
          </w:hyperlink>
        </w:p>
        <w:p w14:paraId="7E815864" w14:textId="2BAC7A73" w:rsidR="000C6174" w:rsidRPr="000C6174" w:rsidRDefault="000C6174" w:rsidP="00D46839">
          <w:pPr>
            <w:jc w:val="both"/>
          </w:pPr>
          <w:r w:rsidRPr="00D46839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4328FB20" w14:textId="77777777" w:rsidR="000C6174" w:rsidRDefault="000C6174" w:rsidP="000C6174">
      <w:pPr>
        <w:pStyle w:val="74"/>
        <w:shd w:val="clear" w:color="auto" w:fill="auto"/>
        <w:tabs>
          <w:tab w:val="left" w:pos="555"/>
          <w:tab w:val="right" w:leader="dot" w:pos="9337"/>
        </w:tabs>
        <w:spacing w:before="0" w:line="394" w:lineRule="exact"/>
        <w:jc w:val="left"/>
        <w:sectPr w:rsidR="000C6174" w:rsidSect="00C33BBA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14:paraId="1636CBC6" w14:textId="77777777" w:rsidR="007A43D3" w:rsidRPr="000C6174" w:rsidRDefault="00415193" w:rsidP="000C617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48921889"/>
      <w:r w:rsidRPr="000C617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1"/>
    </w:p>
    <w:p w14:paraId="4F3439E7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Мастер-план схемы теплоснабжения выполнен в соответствии методическими рекомендациями по разработке схем теплоснабжения требованиями в соответствии с пунктом 4 Постановления правительства РФ от 03.04.2018 г. № 405 «О внесении изменений в некоторые акты правительства Российской Федерации».</w:t>
      </w:r>
    </w:p>
    <w:p w14:paraId="219E3DFE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В основу подготовки и дальнейшей работы с Мастер-планом была заложена следующая методология, определяющая подход и последовательность работ.</w:t>
      </w:r>
    </w:p>
    <w:p w14:paraId="4EBD0267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На первом этапе были определены существующие нагрузки на источники централизованного теплоснабжения, расположенные в административных границах муниципального образования, а также их снижение в результате убыли строительных площадей (снос ветхих зданий) до 2033 года.</w:t>
      </w:r>
    </w:p>
    <w:p w14:paraId="44120E0C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Далее были определены кварталы с планируемыми приростами нагрузок, находящиеся в зонах действия источников централизованного теплоснабжения, а также в зонах действия индивидуальных </w:t>
      </w:r>
      <w:proofErr w:type="spellStart"/>
      <w:r>
        <w:t>теплогенераторов</w:t>
      </w:r>
      <w:proofErr w:type="spellEnd"/>
      <w:r>
        <w:t xml:space="preserve"> и перспективных зон строительства, необеспеченных в настоящее время источниками теплоснабжения.</w:t>
      </w:r>
    </w:p>
    <w:p w14:paraId="03B1BA08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На третьем этапе в электронную модель системы теплоснабжения были внесены перспективные тепловые нагрузки, определенные в Книге 2 проекта Схемы теплоснабжения, и выполнено присоединение перспективных тепловых нагрузок к существующим источникам тепловой энергии. Перспективные тепловые нагрузки внесены в электронную модель в виде обобщенных потребителей, поскольку информация о конкретных планировках в границах жилых кварталов в большинстве своем отсутствует.</w:t>
      </w:r>
    </w:p>
    <w:p w14:paraId="543A65F3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При расчетной тепловой нагрузке существующих и перспективных потребителей был рассчитан максимальный расход сетевой воды в системе теплоснабжения и определена суммарная мощность источников тепловой энергии, необходимая для покрытия нагрузок в течение расчетного периода Схемы теплоснабжения. По результатам </w:t>
      </w:r>
      <w:proofErr w:type="spellStart"/>
      <w:r>
        <w:t>тепло</w:t>
      </w:r>
      <w:r>
        <w:softHyphen/>
        <w:t>гидравлических</w:t>
      </w:r>
      <w:proofErr w:type="spellEnd"/>
      <w:r>
        <w:t xml:space="preserve"> расчетов определены границы перспективных зон действия источников и определены мероприятия для их осуществления.</w:t>
      </w:r>
    </w:p>
    <w:p w14:paraId="5F65F916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Работа выполнена для теплоисточников системы централизованного теплоснабжения, т.е. для источников </w:t>
      </w:r>
      <w:proofErr w:type="gramStart"/>
      <w:r>
        <w:t>тепловой энергии</w:t>
      </w:r>
      <w:proofErr w:type="gramEnd"/>
      <w:r>
        <w:t xml:space="preserve"> имеющих наружные тепловые сети и более одного потребителя тепловой энергии (далее по тексту - СЦТ).</w:t>
      </w:r>
    </w:p>
    <w:p w14:paraId="6611AAB7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По результатам оптимизации загрузки существующих мощностей и уточнения зон действия источников определены сценарии покрытия перспективной нагрузки.</w:t>
      </w:r>
    </w:p>
    <w:p w14:paraId="4ECF13A2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  <w:sectPr w:rsidR="007A43D3" w:rsidSect="00A737EF">
          <w:pgSz w:w="11900" w:h="16840"/>
          <w:pgMar w:top="567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По результатам вышеописанных работ выбраны наиболее оптимальные варианты развития системы теплоснабжения в рамках каждого сценария, по которым сформированы балансы тепловой мощности источников, результаты гидравлических расчетов и программа мероприятий по строительству, реконструкции и техническому перевооружению источников теплоснабжения.</w:t>
      </w:r>
    </w:p>
    <w:p w14:paraId="79310FEE" w14:textId="77777777" w:rsidR="007A43D3" w:rsidRPr="000C6174" w:rsidRDefault="00415193" w:rsidP="000C617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8921890"/>
      <w:r w:rsidRPr="000C617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Задачи мастер-плана</w:t>
      </w:r>
      <w:bookmarkEnd w:id="2"/>
    </w:p>
    <w:p w14:paraId="6A3D14BF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Мастер-план схемы теплоснабжения предназначен для утверждения сценария развития </w:t>
      </w:r>
      <w:proofErr w:type="gramStart"/>
      <w:r>
        <w:t>СЦТ</w:t>
      </w:r>
      <w:proofErr w:type="gramEnd"/>
      <w:r>
        <w:t xml:space="preserve"> а также описания, обоснования и выбора наиболее целесообразного варианта его реализации.</w:t>
      </w:r>
    </w:p>
    <w:p w14:paraId="4451C3D2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В основу разработки вариантов, включаемых </w:t>
      </w:r>
      <w:proofErr w:type="gramStart"/>
      <w:r>
        <w:t>в сценарии</w:t>
      </w:r>
      <w:proofErr w:type="gramEnd"/>
      <w:r>
        <w:t xml:space="preserve"> мастер-плана, заложены следующие основные положения и ключевая нормативно-техническая документация (далее по тексту - НТД):</w:t>
      </w:r>
    </w:p>
    <w:p w14:paraId="0FD2205D" w14:textId="77777777" w:rsidR="007A43D3" w:rsidRDefault="00415193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317" w:lineRule="exact"/>
        <w:ind w:firstLine="600"/>
        <w:jc w:val="both"/>
      </w:pPr>
      <w:r>
        <w:t>проект схемы и программы развития Единой энергетической системы России на 2017 - 2023 годы, разработанный ОАО «СО ЕЭС» совместно с ОАО «ФСК ЕЭС»;</w:t>
      </w:r>
    </w:p>
    <w:p w14:paraId="0B3057CB" w14:textId="77777777" w:rsidR="007A43D3" w:rsidRDefault="00415193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317" w:lineRule="exact"/>
        <w:ind w:firstLine="600"/>
        <w:jc w:val="both"/>
      </w:pPr>
      <w:r>
        <w:t>сценарные условия развития электроэнергетики на период до 2030 г.;</w:t>
      </w:r>
    </w:p>
    <w:p w14:paraId="5E91BB77" w14:textId="77777777" w:rsidR="007A43D3" w:rsidRDefault="00415193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317" w:lineRule="exact"/>
        <w:ind w:firstLine="600"/>
        <w:jc w:val="both"/>
      </w:pPr>
      <w:r>
        <w:t>принцип минимизация затрат на теплоснабжение для потребителя и приоритетность</w:t>
      </w:r>
    </w:p>
    <w:p w14:paraId="17D1B081" w14:textId="77777777" w:rsidR="007A43D3" w:rsidRDefault="00415193" w:rsidP="00257B8C">
      <w:pPr>
        <w:pStyle w:val="20"/>
        <w:shd w:val="clear" w:color="auto" w:fill="auto"/>
        <w:tabs>
          <w:tab w:val="left" w:pos="0"/>
        </w:tabs>
        <w:spacing w:before="0" w:line="317" w:lineRule="exact"/>
        <w:ind w:firstLine="0"/>
        <w:jc w:val="both"/>
      </w:pPr>
      <w:r>
        <w:t>комбинированной выработки электрической и тепловой энергии (п.8, ст.23 ФЗ от 27.07.2010 г. № 190-ФЗ «О теплоснабжении» и п. 6 Постановления Правительства РФ от 22.02.2012г.</w:t>
      </w:r>
      <w:r w:rsidR="00257B8C">
        <w:t xml:space="preserve"> </w:t>
      </w:r>
      <w:r>
        <w:t>№154 «Требования к порядку разработки и утверждения схем</w:t>
      </w:r>
      <w:r w:rsidR="00257B8C">
        <w:t xml:space="preserve"> </w:t>
      </w:r>
      <w:r>
        <w:t>теплоснабжения»);</w:t>
      </w:r>
    </w:p>
    <w:p w14:paraId="626D0A65" w14:textId="77777777" w:rsidR="007A43D3" w:rsidRDefault="00415193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317" w:lineRule="exact"/>
        <w:ind w:firstLine="600"/>
        <w:jc w:val="both"/>
      </w:pPr>
      <w:r>
        <w:t>необходимость изменения/формирования зон действия существующих и проектируемых источников тепловой энергии с целью покрытия перспективного спроса на тепловую мощность;</w:t>
      </w:r>
    </w:p>
    <w:p w14:paraId="0C34B41D" w14:textId="68E203DC" w:rsidR="007A43D3" w:rsidRDefault="00415193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317" w:lineRule="exact"/>
        <w:ind w:firstLine="600"/>
        <w:jc w:val="both"/>
      </w:pPr>
      <w:r>
        <w:t xml:space="preserve">обеспечение условий надежности и безопасности теплоснабжения потребителей тепловой энергией, создание комфортных условий проживания на территории </w:t>
      </w:r>
      <w:proofErr w:type="spellStart"/>
      <w:r w:rsidR="00336351">
        <w:t>Алшан</w:t>
      </w:r>
      <w:r w:rsidR="005F0107">
        <w:t>ского</w:t>
      </w:r>
      <w:proofErr w:type="spellEnd"/>
      <w:r w:rsidR="005F0107">
        <w:t xml:space="preserve"> района</w:t>
      </w:r>
      <w:r>
        <w:t>.</w:t>
      </w:r>
    </w:p>
    <w:p w14:paraId="5CEE73D5" w14:textId="73CFC0F4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 xml:space="preserve">Согласно расчетам, изложенным в </w:t>
      </w:r>
      <w:r w:rsidR="00C33BBA">
        <w:t>главе</w:t>
      </w:r>
      <w:r>
        <w:t xml:space="preserve"> 2 проекта Схемы, прирост тепловой нагрузки по </w:t>
      </w:r>
      <w:r w:rsidRPr="00C33BBA">
        <w:t xml:space="preserve">всему муниципальному образованию в течение расчетного периода составит </w:t>
      </w:r>
      <w:r w:rsidR="00C33BBA" w:rsidRPr="00C33BBA">
        <w:t>41,6</w:t>
      </w:r>
      <w:r w:rsidRPr="00C33BBA">
        <w:t xml:space="preserve"> Гкал/ч. На</w:t>
      </w:r>
      <w:r>
        <w:t xml:space="preserve"> основании оценки перспективного потребления тепловой энергии разработаны сценарии покрытия существующих и перспективных нагрузок, а также определены оптимальные зоны действия источников тепловой энергии.</w:t>
      </w:r>
    </w:p>
    <w:p w14:paraId="42DE8E2B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Выполнение текущих и перспективных балансов тепловой мощности источников, текущей и перспективной тепловой нагрузки в каждой зоне действия источника тепловой энергии является главным условием для разработки вариантов настоящего отчета.</w:t>
      </w:r>
    </w:p>
    <w:p w14:paraId="6F00CEA7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В соответствии с разделом Постановления Правительства РФ № 405 от 03.04.2018 предлагаемые варианты развития системы теплоснабжения базируются на предложениях исполнительных органов власти и эксплуатационных организаций, особенно в тех разделах, которые касаются развития источников теплоснабжения.</w:t>
      </w:r>
    </w:p>
    <w:p w14:paraId="0D04BE01" w14:textId="77777777" w:rsidR="007A43D3" w:rsidRDefault="00415193">
      <w:pPr>
        <w:pStyle w:val="20"/>
        <w:shd w:val="clear" w:color="auto" w:fill="auto"/>
        <w:spacing w:before="0" w:line="317" w:lineRule="exact"/>
        <w:ind w:firstLine="600"/>
        <w:jc w:val="both"/>
      </w:pPr>
      <w:r>
        <w:t>Стоит отметить, что варианты Мастер-плана являются основанием для разработки проектных предложений по новому строительству и реконструкции источников тепловой энергии, тепловых сетей и систем теплопотребления, обеспечивающих перспективные балансы спроса на тепловую мощность потребителями тепловой энергии (покрытие спроса тепловой мощности и энергии).</w:t>
      </w:r>
    </w:p>
    <w:p w14:paraId="09F9DE0B" w14:textId="3DB51042" w:rsidR="007A43D3" w:rsidRDefault="00415193">
      <w:pPr>
        <w:pStyle w:val="20"/>
        <w:shd w:val="clear" w:color="auto" w:fill="auto"/>
        <w:spacing w:before="0" w:after="106" w:line="317" w:lineRule="exact"/>
        <w:ind w:firstLine="600"/>
        <w:jc w:val="both"/>
      </w:pPr>
      <w:r>
        <w:t>Стоит также отдельно отметить, что варианты Мастер-плана не могут являться технико-экономическим обоснованием (ТЭО или предварительным ТЭО) для проектирования и строительства тепловых источников и тепловых сетей. Только после разработки проектных предложений для вариантов Мастер-плана выполняется или уточняется оценка финансовых потребностей, необходимых для реализации мероприятий, заложенных в варианты Мастер-плана, проводится оценка эффективности финансовых затрат, их инвестиционной привлекательности инвесторами и/или будущими собственниками объектов.</w:t>
      </w:r>
    </w:p>
    <w:p w14:paraId="663D8559" w14:textId="4B2A45C9" w:rsidR="005F0107" w:rsidRDefault="005F0107">
      <w:pPr>
        <w:pStyle w:val="20"/>
        <w:shd w:val="clear" w:color="auto" w:fill="auto"/>
        <w:spacing w:before="0" w:after="106" w:line="317" w:lineRule="exact"/>
        <w:ind w:firstLine="600"/>
        <w:jc w:val="both"/>
      </w:pPr>
    </w:p>
    <w:p w14:paraId="2FC406CA" w14:textId="77777777" w:rsidR="0082089C" w:rsidRDefault="0082089C">
      <w:pPr>
        <w:pStyle w:val="20"/>
        <w:shd w:val="clear" w:color="auto" w:fill="auto"/>
        <w:spacing w:before="0" w:after="106" w:line="317" w:lineRule="exact"/>
        <w:ind w:firstLine="600"/>
        <w:jc w:val="both"/>
      </w:pPr>
    </w:p>
    <w:p w14:paraId="3F011C14" w14:textId="77777777" w:rsidR="0082089C" w:rsidRPr="00D46839" w:rsidRDefault="0082089C" w:rsidP="00D4683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8921891"/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Описание</w:t>
      </w:r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tab/>
        <w:t>вариантов</w:t>
      </w:r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tab/>
        <w:t>перспективного</w:t>
      </w:r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tab/>
        <w:t>развития</w:t>
      </w:r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tab/>
        <w:t>систем теплоснабжения образования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  <w:bookmarkEnd w:id="3"/>
    </w:p>
    <w:p w14:paraId="33875998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В соответствии с методическими рекомендациями к разработке (актуализации) схем теплоснабжения п.83 мастер-план схемы теплоснабжения рекомендуется разрабатывать на</w:t>
      </w:r>
    </w:p>
    <w:p w14:paraId="6A84DE01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основании:</w:t>
      </w:r>
    </w:p>
    <w:p w14:paraId="0645B8A3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решений по строительству генерирующих объектов с комбинированной выработкой тепловой и электрической энергии, указанных в утвержденных в региональных схемах и программах перспективного развития электроэнергетики, разработанных в соответствии с постановлением Правительства Российской Федерации от 17 октября 2009 г. N 823 "О схемах и программах перспективного развития электроэнергетики" (Собрание законодательства Российской Федерации, 2009, N 43, ст.5073; 2013, N 33, ст.4392; 2014, N 9, ст.907; 2015, N 5,</w:t>
      </w:r>
    </w:p>
    <w:p w14:paraId="3BC90AC0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ст.827; N 8, ст.1175; 2018, N 34, ст.5483);</w:t>
      </w:r>
    </w:p>
    <w:p w14:paraId="2AAE30CF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решений о теплофикационных турбоагрегатах,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электроэнергетике;</w:t>
      </w:r>
    </w:p>
    <w:p w14:paraId="77932C7E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решений по строительству, реконструкции и (или) модернизации генерирующих объектов с комбинированной выработкой тепловой и электрической энергии, указанных в договорах поставки мощности;</w:t>
      </w:r>
    </w:p>
    <w:p w14:paraId="641EDFEC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принятых региональных программ газификации жилищно-коммунального хозяйства, промышленных и иных организаций;</w:t>
      </w:r>
    </w:p>
    <w:p w14:paraId="0F814E35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предложений по передаче тепловой нагрузки от котельных на источники комбинированной выработки, при наличии резерва тепловых мощностей установленных турбоагрегатов;</w:t>
      </w:r>
    </w:p>
    <w:p w14:paraId="6EA20930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 xml:space="preserve">предложений по строительству, реконструкции и (или)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</w:t>
      </w:r>
      <w:proofErr w:type="gramStart"/>
      <w:r w:rsidRPr="0082089C">
        <w:rPr>
          <w:rFonts w:ascii="Times New Roman" w:eastAsia="Times New Roman" w:hAnsi="Times New Roman" w:cs="Times New Roman"/>
        </w:rPr>
        <w:t>выработки..</w:t>
      </w:r>
      <w:proofErr w:type="gramEnd"/>
    </w:p>
    <w:p w14:paraId="594770A5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Для территории МО «</w:t>
      </w:r>
      <w:proofErr w:type="spellStart"/>
      <w:r w:rsidRPr="0082089C">
        <w:rPr>
          <w:rFonts w:ascii="Times New Roman" w:eastAsia="Times New Roman" w:hAnsi="Times New Roman" w:cs="Times New Roman"/>
        </w:rPr>
        <w:t>Алнашское</w:t>
      </w:r>
      <w:proofErr w:type="spellEnd"/>
      <w:r w:rsidRPr="0082089C">
        <w:rPr>
          <w:rFonts w:ascii="Times New Roman" w:eastAsia="Times New Roman" w:hAnsi="Times New Roman" w:cs="Times New Roman"/>
        </w:rPr>
        <w:t>» данные решения отсутствуют.</w:t>
      </w:r>
    </w:p>
    <w:p w14:paraId="24B94DAC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 xml:space="preserve">Планом развития образования предусматривается новое жилищное строительство, размещаемое на территориях существующей застройки путем реконструкции и создания новой </w:t>
      </w:r>
      <w:proofErr w:type="gramStart"/>
      <w:r w:rsidRPr="0082089C">
        <w:rPr>
          <w:rFonts w:ascii="Times New Roman" w:eastAsia="Times New Roman" w:hAnsi="Times New Roman" w:cs="Times New Roman"/>
        </w:rPr>
        <w:t>со-временной</w:t>
      </w:r>
      <w:proofErr w:type="gramEnd"/>
      <w:r w:rsidRPr="0082089C">
        <w:rPr>
          <w:rFonts w:ascii="Times New Roman" w:eastAsia="Times New Roman" w:hAnsi="Times New Roman" w:cs="Times New Roman"/>
        </w:rPr>
        <w:t xml:space="preserve"> застройки, обеспечивающей комфортные условия проживания. Изменение тепловой нагрузки жилищно-коммунального сектора в сетевой воде за счет ввода в эксплуатацию или сноса зданий не планируется.</w:t>
      </w:r>
    </w:p>
    <w:p w14:paraId="73E59041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 xml:space="preserve">Согласно плану развития образования, новое жилищное строительство, в основном, будет представлено усадебной застройкой. Отопление объектов нового строительства будет осуществляться с помощью индивидуальных источников тепловой энергии (печи на твердом топливе, природном газе, </w:t>
      </w:r>
      <w:proofErr w:type="spellStart"/>
      <w:r w:rsidRPr="0082089C">
        <w:rPr>
          <w:rFonts w:ascii="Times New Roman" w:eastAsia="Times New Roman" w:hAnsi="Times New Roman" w:cs="Times New Roman"/>
        </w:rPr>
        <w:t>электроотопление</w:t>
      </w:r>
      <w:proofErr w:type="spellEnd"/>
      <w:r w:rsidRPr="0082089C">
        <w:rPr>
          <w:rFonts w:ascii="Times New Roman" w:eastAsia="Times New Roman" w:hAnsi="Times New Roman" w:cs="Times New Roman"/>
        </w:rPr>
        <w:t>), поэтому прирост тепловой нагрузки на котельную с. Алнаши не ожидается.</w:t>
      </w:r>
    </w:p>
    <w:p w14:paraId="48DC0679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 xml:space="preserve">Строительство новых источников централизованного теплоснабжения на территории образования не планируется. Для отопления и горячего водоснабжения вновь строящихся индивидуальных домов рекомендуется использовать индивидуальные двухконтурные котлы, работающих на природном газе. Для теплоснабжения строящихся административных зданий с небольшим теплопотреблением и использовать автономные источники тепла: </w:t>
      </w:r>
      <w:proofErr w:type="spellStart"/>
      <w:r w:rsidRPr="0082089C">
        <w:rPr>
          <w:rFonts w:ascii="Times New Roman" w:eastAsia="Times New Roman" w:hAnsi="Times New Roman" w:cs="Times New Roman"/>
        </w:rPr>
        <w:t>отдельностоящие</w:t>
      </w:r>
      <w:proofErr w:type="spellEnd"/>
      <w:r w:rsidRPr="0082089C">
        <w:rPr>
          <w:rFonts w:ascii="Times New Roman" w:eastAsia="Times New Roman" w:hAnsi="Times New Roman" w:cs="Times New Roman"/>
        </w:rPr>
        <w:t xml:space="preserve"> и пристроенные </w:t>
      </w:r>
      <w:proofErr w:type="spellStart"/>
      <w:r w:rsidRPr="0082089C">
        <w:rPr>
          <w:rFonts w:ascii="Times New Roman" w:eastAsia="Times New Roman" w:hAnsi="Times New Roman" w:cs="Times New Roman"/>
        </w:rPr>
        <w:t>блочно</w:t>
      </w:r>
      <w:proofErr w:type="spellEnd"/>
      <w:r w:rsidRPr="0082089C">
        <w:rPr>
          <w:rFonts w:ascii="Times New Roman" w:eastAsia="Times New Roman" w:hAnsi="Times New Roman" w:cs="Times New Roman"/>
        </w:rPr>
        <w:t>-модульные котельные малой мощности.</w:t>
      </w:r>
    </w:p>
    <w:p w14:paraId="3BF12959" w14:textId="77777777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>Выбор индивидуальных источников тепла объясняется тем, что объекты имеют незначительную тепловую нагрузку и находятся на значительном расстоянии друг от друга, что влечет за собой большие потери в тепловых сетях и значительные капвложения по их прокладке;</w:t>
      </w:r>
    </w:p>
    <w:p w14:paraId="07977EB5" w14:textId="0E4533E6" w:rsidR="0082089C" w:rsidRPr="0082089C" w:rsidRDefault="0082089C" w:rsidP="0082089C">
      <w:pPr>
        <w:pStyle w:val="af0"/>
        <w:ind w:firstLine="600"/>
        <w:jc w:val="both"/>
        <w:rPr>
          <w:rFonts w:ascii="Times New Roman" w:eastAsia="Times New Roman" w:hAnsi="Times New Roman" w:cs="Times New Roman"/>
        </w:rPr>
      </w:pPr>
      <w:r w:rsidRPr="0082089C">
        <w:rPr>
          <w:rFonts w:ascii="Times New Roman" w:eastAsia="Times New Roman" w:hAnsi="Times New Roman" w:cs="Times New Roman"/>
        </w:rPr>
        <w:t xml:space="preserve"> Основным направление развития системы централизованного теплоснабжения выбрано сохранение существующей схемы теплоснабжения с проведением работ по модернизации источников теплоснабжения и заменой изношенных участков тепловых сетей.</w:t>
      </w:r>
    </w:p>
    <w:p w14:paraId="55D07495" w14:textId="77777777" w:rsidR="0082089C" w:rsidRDefault="0082089C" w:rsidP="00966E22">
      <w:pPr>
        <w:pStyle w:val="af0"/>
        <w:ind w:firstLine="600"/>
        <w:jc w:val="both"/>
        <w:rPr>
          <w:rFonts w:ascii="Times New Roman" w:eastAsia="Times New Roman" w:hAnsi="Times New Roman" w:cs="Times New Roman"/>
        </w:rPr>
        <w:sectPr w:rsidR="0082089C" w:rsidSect="008208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68" w:right="1077" w:bottom="851" w:left="1077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64972481" w14:textId="56698E23" w:rsidR="00966E22" w:rsidRPr="00D46839" w:rsidRDefault="0082089C" w:rsidP="00D4683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8921892"/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Технико-экономическое сравнение вариантов перспективного развития систем теплоснабжения образования</w:t>
      </w:r>
      <w:bookmarkEnd w:id="4"/>
    </w:p>
    <w:p w14:paraId="766229E6" w14:textId="77777777" w:rsidR="0082089C" w:rsidRPr="00D46839" w:rsidRDefault="0082089C" w:rsidP="00D46839">
      <w:pPr>
        <w:pStyle w:val="af6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В структуре себестоимости основная доля приходится на энергоресурсы, соответственно, тариф на тепловую энергию непосредственно зависит от затрат на покупные энергоресурсы.</w:t>
      </w:r>
    </w:p>
    <w:p w14:paraId="2EEE42D5" w14:textId="77777777" w:rsidR="0082089C" w:rsidRPr="00D46839" w:rsidRDefault="0082089C" w:rsidP="00D46839">
      <w:pPr>
        <w:pStyle w:val="af6"/>
        <w:spacing w:line="237" w:lineRule="auto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Расходы, связанные с производством и реализацией продукции (услуг) по регулируемым видам деятельности, включают следующие группы расходов:</w:t>
      </w:r>
    </w:p>
    <w:p w14:paraId="0586BCF9" w14:textId="77777777" w:rsidR="0082089C" w:rsidRPr="00D46839" w:rsidRDefault="0082089C" w:rsidP="00D46839">
      <w:pPr>
        <w:pStyle w:val="af6"/>
        <w:spacing w:line="275" w:lineRule="exact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топливо;</w:t>
      </w:r>
    </w:p>
    <w:p w14:paraId="1D0C5CE6" w14:textId="77777777" w:rsidR="0082089C" w:rsidRPr="00D46839" w:rsidRDefault="0082089C" w:rsidP="00D46839">
      <w:pPr>
        <w:pStyle w:val="af6"/>
        <w:spacing w:line="275" w:lineRule="exact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покупаемую электрическую и тепловую энергию;</w:t>
      </w:r>
    </w:p>
    <w:p w14:paraId="7E549F1F" w14:textId="77777777" w:rsidR="0082089C" w:rsidRPr="00D46839" w:rsidRDefault="0082089C" w:rsidP="00D46839">
      <w:pPr>
        <w:pStyle w:val="af6"/>
        <w:spacing w:before="4" w:line="237" w:lineRule="auto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оплату услуг, оказываемых организациями, осуществляющими регулируемую деятельность;</w:t>
      </w:r>
    </w:p>
    <w:p w14:paraId="0F69519D" w14:textId="77777777" w:rsidR="0082089C" w:rsidRPr="00D46839" w:rsidRDefault="0082089C" w:rsidP="00D46839">
      <w:pPr>
        <w:pStyle w:val="af6"/>
        <w:spacing w:before="3" w:line="275" w:lineRule="exact"/>
        <w:ind w:right="-35" w:firstLine="710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сырье и материалы;</w:t>
      </w:r>
    </w:p>
    <w:p w14:paraId="566CB67F" w14:textId="77777777" w:rsidR="0082089C" w:rsidRPr="00D46839" w:rsidRDefault="0082089C" w:rsidP="00D46839">
      <w:pPr>
        <w:pStyle w:val="af6"/>
        <w:spacing w:line="275" w:lineRule="exact"/>
        <w:ind w:right="-35" w:firstLine="710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ремонт основных средств;</w:t>
      </w:r>
    </w:p>
    <w:p w14:paraId="23A20466" w14:textId="77777777" w:rsidR="0082089C" w:rsidRPr="00D46839" w:rsidRDefault="0082089C" w:rsidP="00D46839">
      <w:pPr>
        <w:pStyle w:val="af6"/>
        <w:spacing w:before="3" w:line="275" w:lineRule="exact"/>
        <w:ind w:right="-35" w:firstLine="710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оплату труда и отчисления на социальные нужды;</w:t>
      </w:r>
    </w:p>
    <w:p w14:paraId="198F83DD" w14:textId="77777777" w:rsidR="0082089C" w:rsidRPr="00D46839" w:rsidRDefault="0082089C" w:rsidP="00D46839">
      <w:pPr>
        <w:pStyle w:val="af6"/>
        <w:spacing w:line="275" w:lineRule="exact"/>
        <w:ind w:right="-35" w:firstLine="710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на амортизацию основных средств и нематериальных активов;</w:t>
      </w:r>
    </w:p>
    <w:p w14:paraId="31C281B7" w14:textId="77777777" w:rsidR="0082089C" w:rsidRPr="00D46839" w:rsidRDefault="0082089C" w:rsidP="00D46839">
      <w:pPr>
        <w:pStyle w:val="af6"/>
        <w:spacing w:before="3" w:line="275" w:lineRule="exact"/>
        <w:ind w:right="-35" w:firstLine="710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− прочие расходы.</w:t>
      </w:r>
    </w:p>
    <w:p w14:paraId="0DF70773" w14:textId="77777777" w:rsidR="0082089C" w:rsidRPr="00D46839" w:rsidRDefault="0082089C" w:rsidP="00D46839">
      <w:pPr>
        <w:pStyle w:val="af6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В настоящее время на территории поселения действует шесть источников теплоснабжения. Резерва тепловой мощности действующих источников теплоснабжения достаточен для обеспечения тепловой нагрузки существующих и перспективных потребителей.</w:t>
      </w:r>
    </w:p>
    <w:p w14:paraId="58E58292" w14:textId="77777777" w:rsidR="0082089C" w:rsidRPr="00D46839" w:rsidRDefault="0082089C" w:rsidP="00D46839">
      <w:pPr>
        <w:pStyle w:val="af6"/>
        <w:spacing w:before="1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Проведение работ по модернизации существующей системы теплоснабжения (замена изношенного оборудования котельных, ремонт и замена изношенных участков тепловых сетей) позволит сократить эксплуатационные расходы на содержание котельных и тепловых сетей, снизить потери топлива, уменьшить потери тепла и теплоносителя при транспортировке.</w:t>
      </w:r>
    </w:p>
    <w:p w14:paraId="592649D9" w14:textId="77777777" w:rsidR="00966E22" w:rsidRDefault="00966E22" w:rsidP="00D46839">
      <w:pPr>
        <w:pStyle w:val="af0"/>
        <w:ind w:right="-35" w:firstLine="710"/>
        <w:jc w:val="both"/>
        <w:rPr>
          <w:rFonts w:ascii="Times New Roman" w:eastAsia="Times New Roman" w:hAnsi="Times New Roman" w:cs="Times New Roman"/>
        </w:rPr>
      </w:pPr>
    </w:p>
    <w:p w14:paraId="3C1AC70C" w14:textId="77777777" w:rsidR="00966E22" w:rsidRDefault="00D46839" w:rsidP="00D4683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8921893"/>
      <w:r w:rsidRPr="00D46839">
        <w:rPr>
          <w:rFonts w:ascii="Times New Roman" w:hAnsi="Times New Roman" w:cs="Times New Roman"/>
          <w:b/>
          <w:color w:val="auto"/>
          <w:sz w:val="28"/>
          <w:szCs w:val="28"/>
        </w:rPr>
        <w:t>Обоснование выбора приоритетного варианта перспективного развития систем теплоснабжения образования на основе анализа ценовых (тарифных) последствий для потребителей</w:t>
      </w:r>
      <w:bookmarkEnd w:id="5"/>
    </w:p>
    <w:p w14:paraId="5C4FE4DE" w14:textId="77777777" w:rsidR="00D46839" w:rsidRPr="00D46839" w:rsidRDefault="00D46839" w:rsidP="00D46839">
      <w:pPr>
        <w:pStyle w:val="af6"/>
        <w:ind w:right="-35" w:firstLine="710"/>
        <w:jc w:val="both"/>
        <w:rPr>
          <w:color w:val="000000"/>
          <w:lang w:eastAsia="ru-RU" w:bidi="ru-RU"/>
        </w:rPr>
      </w:pPr>
      <w:r w:rsidRPr="00D46839">
        <w:rPr>
          <w:color w:val="000000"/>
          <w:lang w:eastAsia="ru-RU" w:bidi="ru-RU"/>
        </w:rPr>
        <w:t>Основным направление развития системы централизованного теплоснабжения выбрано сохранение существующей централизованной схемы теплоснабжения с проведением работ по модернизации источников теплоснабжения и заменой изношенных участков тепловых сетей.</w:t>
      </w:r>
    </w:p>
    <w:p w14:paraId="28E69DF0" w14:textId="73E12B3D" w:rsidR="00D46839" w:rsidRPr="00D46839" w:rsidRDefault="00D46839" w:rsidP="00D46839">
      <w:pPr>
        <w:pStyle w:val="af6"/>
        <w:ind w:right="-35" w:firstLine="710"/>
        <w:jc w:val="both"/>
        <w:rPr>
          <w:color w:val="000000"/>
          <w:lang w:eastAsia="ru-RU" w:bidi="ru-RU"/>
        </w:rPr>
        <w:sectPr w:rsidR="00D46839" w:rsidRPr="00D46839" w:rsidSect="0082089C">
          <w:pgSz w:w="11900" w:h="16840"/>
          <w:pgMar w:top="568" w:right="1077" w:bottom="851" w:left="1077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D46839">
        <w:rPr>
          <w:color w:val="000000"/>
          <w:lang w:eastAsia="ru-RU" w:bidi="ru-RU"/>
        </w:rPr>
        <w:t>Выбор обосновывается тем, что при существующей централизованной системе теплоснабжения для потребителей экономически нецелесообразны затраты на приобретение индивидуальной системы теплоснабжения и затраты на дальнейшее её обслуживание. Так же не каждый потребитель достаточно компетентен для самостоятельного обслуживания системы теплоснабжения. При централизованной системе теплоснабжения у потребителя отсутствует необходимость самостоятельно организовывать ремонтно-профилактические работы. Централизованная система теплоснабжения безопаснее для потребител</w:t>
      </w:r>
      <w:r>
        <w:rPr>
          <w:color w:val="000000"/>
          <w:lang w:eastAsia="ru-RU" w:bidi="ru-RU"/>
        </w:rPr>
        <w:t>ей.</w:t>
      </w:r>
    </w:p>
    <w:p w14:paraId="4A51BE05" w14:textId="77777777" w:rsidR="00D46839" w:rsidRPr="00D46839" w:rsidRDefault="00D46839" w:rsidP="00D46839">
      <w:pPr>
        <w:rPr>
          <w:sz w:val="2"/>
          <w:szCs w:val="2"/>
        </w:rPr>
      </w:pPr>
      <w:bookmarkStart w:id="6" w:name="_GoBack"/>
      <w:bookmarkEnd w:id="6"/>
    </w:p>
    <w:sectPr w:rsidR="00D46839" w:rsidRPr="00D46839" w:rsidSect="00D468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3149" w:right="1143" w:bottom="1081" w:left="113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6E71" w14:textId="77777777" w:rsidR="00013884" w:rsidRDefault="00013884">
      <w:r>
        <w:separator/>
      </w:r>
    </w:p>
  </w:endnote>
  <w:endnote w:type="continuationSeparator" w:id="0">
    <w:p w14:paraId="4C7780D6" w14:textId="77777777" w:rsidR="00013884" w:rsidRDefault="000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7541" w14:textId="77777777" w:rsidR="0082089C" w:rsidRDefault="0082089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F032" w14:textId="77777777" w:rsidR="0082089C" w:rsidRDefault="008208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B134" w14:textId="77777777" w:rsidR="0082089C" w:rsidRDefault="0082089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0F7F" w14:textId="77777777" w:rsidR="0082089C" w:rsidRDefault="0082089C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E553" w14:textId="77777777" w:rsidR="0082089C" w:rsidRDefault="0082089C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0A69" w14:textId="77777777" w:rsidR="0082089C" w:rsidRDefault="0082089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4C4C4" w14:textId="77777777" w:rsidR="00013884" w:rsidRDefault="00013884"/>
  </w:footnote>
  <w:footnote w:type="continuationSeparator" w:id="0">
    <w:p w14:paraId="5BA39781" w14:textId="77777777" w:rsidR="00013884" w:rsidRDefault="00013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F0DA" w14:textId="77777777" w:rsidR="0082089C" w:rsidRDefault="0082089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7AF1" w14:textId="77777777" w:rsidR="0082089C" w:rsidRDefault="008208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6F7F" w14:textId="77777777" w:rsidR="0082089C" w:rsidRDefault="0082089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E770" w14:textId="77777777" w:rsidR="0082089C" w:rsidRDefault="00013884">
    <w:pPr>
      <w:rPr>
        <w:sz w:val="2"/>
        <w:szCs w:val="2"/>
      </w:rPr>
    </w:pPr>
    <w:r>
      <w:pict w14:anchorId="701A87D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6.45pt;margin-top:141.05pt;width:8.65pt;height:3.45pt;z-index:-188744001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14:paraId="7F4AB095" w14:textId="77777777" w:rsidR="0082089C" w:rsidRDefault="0082089C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FranklinGothicHeavy"/>
                  </w:rPr>
                  <w:t>,</w:t>
                </w:r>
                <w:r>
                  <w:rPr>
                    <w:rStyle w:val="FranklinGothicHeavy4pt"/>
                  </w:rPr>
                  <w:t>9</w:t>
                </w:r>
                <w:r>
                  <w:rPr>
                    <w:rStyle w:val="FranklinGothicHeavy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 w14:anchorId="44DB60EF">
        <v:shape id="_x0000_s2058" type="#_x0000_t202" style="position:absolute;margin-left:56.6pt;margin-top:45.9pt;width:89.05pt;height:10.6pt;z-index:-188744000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14:paraId="1A182CC5" w14:textId="77777777" w:rsidR="0082089C" w:rsidRDefault="0082089C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2pt0"/>
                    <w:rFonts w:eastAsia="Tahoma"/>
                  </w:rPr>
                  <w:t>Приложение 5-Б</w:t>
                </w:r>
              </w:p>
            </w:txbxContent>
          </v:textbox>
          <w10:wrap anchorx="page" anchory="page"/>
        </v:shape>
      </w:pict>
    </w:r>
    <w:r>
      <w:pict w14:anchorId="2F229275">
        <v:shape id="_x0000_s2057" type="#_x0000_t202" style="position:absolute;margin-left:302.75pt;margin-top:146pt;width:16.5pt;height:7.7pt;z-index:-188743999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14:paraId="6A0F191C" w14:textId="77777777" w:rsidR="0082089C" w:rsidRDefault="0082089C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6pt3"/>
                  </w:rPr>
                  <w:t>5^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DF10" w14:textId="3927F4E6" w:rsidR="0082089C" w:rsidRPr="00D46839" w:rsidRDefault="0082089C" w:rsidP="00D46839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0D8E" w14:textId="77777777" w:rsidR="0082089C" w:rsidRDefault="00820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234"/>
    <w:multiLevelType w:val="multilevel"/>
    <w:tmpl w:val="0A2C8C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114E9"/>
    <w:multiLevelType w:val="multilevel"/>
    <w:tmpl w:val="C4F8E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F6774"/>
    <w:multiLevelType w:val="multilevel"/>
    <w:tmpl w:val="5622B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831DA"/>
    <w:multiLevelType w:val="multilevel"/>
    <w:tmpl w:val="87788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843C0"/>
    <w:multiLevelType w:val="multilevel"/>
    <w:tmpl w:val="D0CA7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A152D"/>
    <w:multiLevelType w:val="multilevel"/>
    <w:tmpl w:val="3C9EE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E7E2B"/>
    <w:multiLevelType w:val="multilevel"/>
    <w:tmpl w:val="FF585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348C1"/>
    <w:multiLevelType w:val="multilevel"/>
    <w:tmpl w:val="AEC44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BC318D"/>
    <w:multiLevelType w:val="multilevel"/>
    <w:tmpl w:val="31C48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621FA1"/>
    <w:multiLevelType w:val="multilevel"/>
    <w:tmpl w:val="5108E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784B73"/>
    <w:multiLevelType w:val="multilevel"/>
    <w:tmpl w:val="81B43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4D2A73"/>
    <w:multiLevelType w:val="multilevel"/>
    <w:tmpl w:val="51C09C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716C5C"/>
    <w:multiLevelType w:val="multilevel"/>
    <w:tmpl w:val="96608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D3"/>
    <w:rsid w:val="00013884"/>
    <w:rsid w:val="00047FD0"/>
    <w:rsid w:val="000C3FF1"/>
    <w:rsid w:val="000C6174"/>
    <w:rsid w:val="000E596F"/>
    <w:rsid w:val="000F17A6"/>
    <w:rsid w:val="000F5975"/>
    <w:rsid w:val="00145F24"/>
    <w:rsid w:val="00213EBD"/>
    <w:rsid w:val="00241E75"/>
    <w:rsid w:val="00257B8C"/>
    <w:rsid w:val="00265FD8"/>
    <w:rsid w:val="00336351"/>
    <w:rsid w:val="00361DF5"/>
    <w:rsid w:val="00391F39"/>
    <w:rsid w:val="003C5E4D"/>
    <w:rsid w:val="003F3D47"/>
    <w:rsid w:val="00415193"/>
    <w:rsid w:val="004531AA"/>
    <w:rsid w:val="004B659F"/>
    <w:rsid w:val="005A5D38"/>
    <w:rsid w:val="005F0107"/>
    <w:rsid w:val="006975D4"/>
    <w:rsid w:val="006A3524"/>
    <w:rsid w:val="006D365B"/>
    <w:rsid w:val="0070648E"/>
    <w:rsid w:val="00717B21"/>
    <w:rsid w:val="00757799"/>
    <w:rsid w:val="00793D18"/>
    <w:rsid w:val="007A43D3"/>
    <w:rsid w:val="0082089C"/>
    <w:rsid w:val="008625A0"/>
    <w:rsid w:val="008C4166"/>
    <w:rsid w:val="00924301"/>
    <w:rsid w:val="00966E22"/>
    <w:rsid w:val="009E606B"/>
    <w:rsid w:val="00A17F86"/>
    <w:rsid w:val="00A34653"/>
    <w:rsid w:val="00A737EF"/>
    <w:rsid w:val="00A96B86"/>
    <w:rsid w:val="00AC5B50"/>
    <w:rsid w:val="00AE78DD"/>
    <w:rsid w:val="00B232D3"/>
    <w:rsid w:val="00C00067"/>
    <w:rsid w:val="00C06E11"/>
    <w:rsid w:val="00C2788F"/>
    <w:rsid w:val="00C33BBA"/>
    <w:rsid w:val="00D3380E"/>
    <w:rsid w:val="00D46839"/>
    <w:rsid w:val="00D827D0"/>
    <w:rsid w:val="00DA068C"/>
    <w:rsid w:val="00DB18CD"/>
    <w:rsid w:val="00DE538D"/>
    <w:rsid w:val="00E31341"/>
    <w:rsid w:val="00E5059B"/>
    <w:rsid w:val="00E67891"/>
    <w:rsid w:val="00EE4AA5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9C5BD8D"/>
  <w15:docId w15:val="{B882B512-8068-485B-A1FF-72A56155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C6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pt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Колонтитул + 8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pt">
    <w:name w:val="Колонтитул + 6 pt;Малые прописные"/>
    <w:basedOn w:val="a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">
    <w:name w:val="Колонтитул + Times New Roman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главление 6 Знак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pt0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1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pt2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12pt">
    <w:name w:val="Заголовок №7 + 12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">
    <w:name w:val="Колонтитул + Times New Roman;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2ptExact">
    <w:name w:val="Заголовок №3 (2) + Интервал 2 pt Exact"/>
    <w:basedOn w:val="3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Заголовок №4 Exact"/>
    <w:basedOn w:val="a0"/>
    <w:link w:val="41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Заголовок №5 Exact"/>
    <w:basedOn w:val="a0"/>
    <w:link w:val="5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1">
    <w:name w:val="Заголовок №5 + Не курсив Exact"/>
    <w:basedOn w:val="5Exact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mesNewRoman12pt0">
    <w:name w:val="Колонтитул + Times New Roman;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mesNewRoman11pt">
    <w:name w:val="Колонтитул + Times New Roman;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0">
    <w:name w:val="Заголовок №7 (2)_"/>
    <w:basedOn w:val="a0"/>
    <w:link w:val="72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22">
    <w:name w:val="Заголовок №7 (2)"/>
    <w:basedOn w:val="7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TimesNewRoman12pt">
    <w:name w:val="Заголовок №7 (2) + Times New Roman;12 pt;Не полужирный;Курсив"/>
    <w:basedOn w:val="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3">
    <w:name w:val="Заголовок №7 (2)"/>
    <w:basedOn w:val="7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Exact">
    <w:name w:val="Заголовок №6 (2) Exact"/>
    <w:basedOn w:val="a0"/>
    <w:link w:val="6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1">
    <w:name w:val="Основной текст (7) Exac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2">
    <w:name w:val="Основной текст (7) Exac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TimesNewRoman6ptExact">
    <w:name w:val="Основной текст (9) + Times New Roman;6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TimesNewRoman6ptExact0">
    <w:name w:val="Основной текст (9) + Times New Roman;6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TimesNewRoman6ptExact1">
    <w:name w:val="Основной текст (9) + Times New Roman;6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TimesNewRoman6ptExact2">
    <w:name w:val="Основной текст (9) + Times New Roman;6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ranklinGothicHeavy">
    <w:name w:val="Колонтитул + Franklin Gothic Heavy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4pt">
    <w:name w:val="Колонтитул + Franklin Gothic Heavy;4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pt3">
    <w:name w:val="Колонтитул + 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Impact" w:eastAsia="Impact" w:hAnsi="Impact" w:cs="Impac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TahomaExact">
    <w:name w:val="Основной текст (10) + Tahoma;Курсив Exact"/>
    <w:basedOn w:val="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TahomaExact0">
    <w:name w:val="Основной текст (10) + Tahoma Exact"/>
    <w:basedOn w:val="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TahomaExact1">
    <w:name w:val="Основной текст (10) + Tahoma Exact"/>
    <w:basedOn w:val="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TahomaExact2">
    <w:name w:val="Основной текст (10) + Tahoma Exact"/>
    <w:basedOn w:val="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TahomaExact3">
    <w:name w:val="Основной текст (10) + Tahoma;Курсив Exact"/>
    <w:basedOn w:val="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2">
    <w:name w:val="Заголовок №2 Exact"/>
    <w:basedOn w:val="a0"/>
    <w:link w:val="2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10"/>
      <w:sz w:val="82"/>
      <w:szCs w:val="82"/>
      <w:u w:val="none"/>
    </w:rPr>
  </w:style>
  <w:style w:type="character" w:customStyle="1" w:styleId="2Exact3">
    <w:name w:val="Заголовок №2 Exact"/>
    <w:basedOn w:val="2Exac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Exact0">
    <w:name w:val="Основной текст (11)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155ptExact">
    <w:name w:val="Основной текст (11) + 5;5 pt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Exact1">
    <w:name w:val="Основной текст (11)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Arial7ptExact">
    <w:name w:val="Основной текст (12) + Arial;7 pt;Курсив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Exact2">
    <w:name w:val="Основной текст (11) + Курсив Exact"/>
    <w:basedOn w:val="11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55ptExact0">
    <w:name w:val="Основной текст (11) + 5;5 pt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Exact2">
    <w:name w:val="Основной текст (10) Exact"/>
    <w:basedOn w:val="10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3">
    <w:name w:val="Основной текст (10) Exact"/>
    <w:basedOn w:val="10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Exact4">
    <w:name w:val="Основной текст (10) Exact"/>
    <w:basedOn w:val="10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1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Exact">
    <w:name w:val="Основной текст (13) + 11 pt;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11ptExact0">
    <w:name w:val="Основной текст (13) + 11 pt;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Exact3">
    <w:name w:val="Основной текст (7) Exac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Exact1">
    <w:name w:val="Основной текст (9) Exact"/>
    <w:basedOn w:val="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5"/>
      <w:szCs w:val="15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5"/>
      <w:szCs w:val="15"/>
      <w:u w:val="none"/>
      <w:lang w:val="ru-RU" w:eastAsia="ru-RU" w:bidi="ru-RU"/>
    </w:rPr>
  </w:style>
  <w:style w:type="character" w:customStyle="1" w:styleId="14Exact1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5"/>
      <w:szCs w:val="15"/>
      <w:u w:val="none"/>
      <w:lang w:val="ru-RU" w:eastAsia="ru-RU" w:bidi="ru-RU"/>
    </w:rPr>
  </w:style>
  <w:style w:type="character" w:customStyle="1" w:styleId="9TimesNewRoman6ptExact3">
    <w:name w:val="Основной текст (9) + Times New Roman;6 pt;Не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2">
    <w:name w:val="Основной текст (9) Exact"/>
    <w:basedOn w:val="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TimesNewRoman65ptExact">
    <w:name w:val="Основной текст (11) + Times New Roman;6;5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TimesNewRoman65ptExact0">
    <w:name w:val="Основной текст (11) + Times New Roman;6;5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TimesNewRoman12pt3ptExact">
    <w:name w:val="Основной текст (11) + Times New Roman;12 pt;Интервал 3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TimesNewRoman65ptExact1">
    <w:name w:val="Основной текст (11) + Times New Roman;6;5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Exact">
    <w:name w:val="Заголовок №6 (3) Exact"/>
    <w:basedOn w:val="a0"/>
    <w:link w:val="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33ptExact">
    <w:name w:val="Заголовок №6 (3) + Интервал 3 pt Exact"/>
    <w:basedOn w:val="6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Exact2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5"/>
    <w:rPr>
      <w:rFonts w:ascii="Arial" w:eastAsia="Arial" w:hAnsi="Arial" w:cs="Arial"/>
      <w:b/>
      <w:bCs/>
      <w:i/>
      <w:iCs/>
      <w:smallCaps w:val="0"/>
      <w:strike w:val="0"/>
      <w:spacing w:val="-40"/>
      <w:sz w:val="80"/>
      <w:szCs w:val="80"/>
      <w:u w:val="none"/>
      <w:lang w:val="en-US" w:eastAsia="en-US" w:bidi="en-US"/>
    </w:rPr>
  </w:style>
  <w:style w:type="character" w:customStyle="1" w:styleId="1Candara41pt-5ptExact">
    <w:name w:val="Заголовок №1 + Candara;41 pt;Не полужирный;Не курсив;Интервал -5 pt Exact"/>
    <w:basedOn w:val="1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1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80"/>
      <w:szCs w:val="80"/>
      <w:u w:val="none"/>
      <w:lang w:val="en-US" w:eastAsia="en-US" w:bidi="en-US"/>
    </w:rPr>
  </w:style>
  <w:style w:type="character" w:customStyle="1" w:styleId="3Exact2">
    <w:name w:val="Заголовок №3 Exact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Exact3">
    <w:name w:val="Заголовок №3 + Малые прописные Exact"/>
    <w:basedOn w:val="3Exac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4">
    <w:name w:val="Заголовок №3 + Малые прописные Exact"/>
    <w:basedOn w:val="3Exac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5">
    <w:name w:val="Заголовок №3 Exact"/>
    <w:basedOn w:val="3Exac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Exact3">
    <w:name w:val="Основной текст (11) Exact"/>
    <w:basedOn w:val="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512pt3ptExact">
    <w:name w:val="Основной текст (15) + 12 pt;Не курсив;Интервал 3 pt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5Exact1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2pt3ptExact0">
    <w:name w:val="Основной текст (15) + 12 pt;Не курсив;Интервал 3 pt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485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1" w:lineRule="exact"/>
      <w:jc w:val="both"/>
    </w:pPr>
    <w:rPr>
      <w:rFonts w:ascii="Tahoma" w:eastAsia="Tahoma" w:hAnsi="Tahoma" w:cs="Tahoma"/>
      <w:sz w:val="19"/>
      <w:szCs w:val="19"/>
    </w:rPr>
  </w:style>
  <w:style w:type="paragraph" w:styleId="62">
    <w:name w:val="toc 6"/>
    <w:basedOn w:val="a"/>
    <w:link w:val="61"/>
    <w:autoRedefine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24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317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before="540" w:after="240" w:line="0" w:lineRule="atLeast"/>
      <w:ind w:hanging="3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line="315" w:lineRule="exact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51">
    <w:name w:val="Заголовок №5"/>
    <w:basedOn w:val="a"/>
    <w:link w:val="5Exact0"/>
    <w:pPr>
      <w:shd w:val="clear" w:color="auto" w:fill="FFFFFF"/>
      <w:spacing w:line="315" w:lineRule="exact"/>
      <w:outlineLvl w:val="4"/>
    </w:pPr>
    <w:rPr>
      <w:rFonts w:ascii="Arial" w:eastAsia="Arial" w:hAnsi="Arial" w:cs="Arial"/>
      <w:i/>
      <w:iCs/>
      <w:sz w:val="26"/>
      <w:szCs w:val="26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60" w:after="240" w:line="250" w:lineRule="exact"/>
      <w:ind w:hanging="3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Подпись к картинке (2)"/>
    <w:basedOn w:val="a"/>
    <w:link w:val="2Exact"/>
    <w:pPr>
      <w:shd w:val="clear" w:color="auto" w:fill="FFFFFF"/>
      <w:spacing w:line="278" w:lineRule="exact"/>
      <w:ind w:firstLine="240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before="4320" w:line="499" w:lineRule="exact"/>
      <w:jc w:val="both"/>
      <w:outlineLvl w:val="6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620">
    <w:name w:val="Заголовок №6 (2)"/>
    <w:basedOn w:val="a"/>
    <w:link w:val="62Exact"/>
    <w:pPr>
      <w:shd w:val="clear" w:color="auto" w:fill="FFFFFF"/>
      <w:spacing w:line="0" w:lineRule="atLeast"/>
      <w:outlineLvl w:val="5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16" w:lineRule="exact"/>
      <w:jc w:val="both"/>
    </w:pPr>
    <w:rPr>
      <w:rFonts w:ascii="Impact" w:eastAsia="Impact" w:hAnsi="Impact" w:cs="Impact"/>
      <w:sz w:val="10"/>
      <w:szCs w:val="10"/>
    </w:rPr>
  </w:style>
  <w:style w:type="paragraph" w:customStyle="1" w:styleId="26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spacing w:val="-110"/>
      <w:sz w:val="82"/>
      <w:szCs w:val="8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w w:val="60"/>
      <w:sz w:val="15"/>
      <w:szCs w:val="15"/>
    </w:rPr>
  </w:style>
  <w:style w:type="paragraph" w:customStyle="1" w:styleId="630">
    <w:name w:val="Заголовок №6 (3)"/>
    <w:basedOn w:val="a"/>
    <w:link w:val="63Exact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40"/>
      <w:sz w:val="80"/>
      <w:szCs w:val="80"/>
      <w:lang w:val="en-US" w:eastAsia="en-US" w:bidi="en-US"/>
    </w:rPr>
  </w:style>
  <w:style w:type="paragraph" w:customStyle="1" w:styleId="34">
    <w:name w:val="Заголовок №3"/>
    <w:basedOn w:val="a"/>
    <w:link w:val="3Exact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150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styleId="74">
    <w:name w:val="toc 7"/>
    <w:basedOn w:val="a"/>
    <w:autoRedefine/>
    <w:pPr>
      <w:shd w:val="clear" w:color="auto" w:fill="FFFFFF"/>
      <w:spacing w:before="360" w:line="36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265F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FD8"/>
    <w:rPr>
      <w:color w:val="000000"/>
    </w:rPr>
  </w:style>
  <w:style w:type="paragraph" w:styleId="ae">
    <w:name w:val="footer"/>
    <w:basedOn w:val="a"/>
    <w:link w:val="af"/>
    <w:uiPriority w:val="99"/>
    <w:unhideWhenUsed/>
    <w:rsid w:val="00265F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FD8"/>
    <w:rPr>
      <w:color w:val="000000"/>
    </w:rPr>
  </w:style>
  <w:style w:type="paragraph" w:styleId="af0">
    <w:name w:val="No Spacing"/>
    <w:aliases w:val="С интервалом и отступом"/>
    <w:link w:val="af1"/>
    <w:uiPriority w:val="1"/>
    <w:qFormat/>
    <w:rsid w:val="00F7445A"/>
    <w:rPr>
      <w:color w:val="000000"/>
    </w:rPr>
  </w:style>
  <w:style w:type="paragraph" w:styleId="35">
    <w:name w:val="toc 3"/>
    <w:basedOn w:val="a"/>
    <w:next w:val="a"/>
    <w:autoRedefine/>
    <w:uiPriority w:val="39"/>
    <w:unhideWhenUsed/>
    <w:rsid w:val="00E5059B"/>
    <w:pPr>
      <w:spacing w:after="100"/>
      <w:ind w:left="480"/>
    </w:pPr>
  </w:style>
  <w:style w:type="paragraph" w:styleId="42">
    <w:name w:val="toc 4"/>
    <w:basedOn w:val="a"/>
    <w:next w:val="a"/>
    <w:autoRedefine/>
    <w:uiPriority w:val="39"/>
    <w:unhideWhenUsed/>
    <w:rsid w:val="00E5059B"/>
    <w:pPr>
      <w:spacing w:after="100"/>
      <w:ind w:left="720"/>
    </w:pPr>
  </w:style>
  <w:style w:type="paragraph" w:styleId="52">
    <w:name w:val="toc 5"/>
    <w:basedOn w:val="a"/>
    <w:next w:val="a"/>
    <w:autoRedefine/>
    <w:uiPriority w:val="39"/>
    <w:unhideWhenUsed/>
    <w:rsid w:val="00E5059B"/>
    <w:pPr>
      <w:spacing w:after="100"/>
      <w:ind w:left="960"/>
    </w:pPr>
  </w:style>
  <w:style w:type="character" w:customStyle="1" w:styleId="10">
    <w:name w:val="Заголовок 1 Знак"/>
    <w:basedOn w:val="a0"/>
    <w:link w:val="1"/>
    <w:uiPriority w:val="9"/>
    <w:rsid w:val="000C6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C6174"/>
    <w:pPr>
      <w:widowControl/>
      <w:spacing w:line="259" w:lineRule="auto"/>
      <w:outlineLvl w:val="9"/>
    </w:pPr>
    <w:rPr>
      <w:lang w:bidi="ar-SA"/>
    </w:rPr>
  </w:style>
  <w:style w:type="paragraph" w:styleId="16">
    <w:name w:val="toc 1"/>
    <w:basedOn w:val="a"/>
    <w:next w:val="a"/>
    <w:autoRedefine/>
    <w:uiPriority w:val="39"/>
    <w:unhideWhenUsed/>
    <w:rsid w:val="000C6174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3F3D4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D47"/>
    <w:rPr>
      <w:rFonts w:ascii="Tahoma" w:hAnsi="Tahoma" w:cs="Tahoma"/>
      <w:color w:val="000000"/>
      <w:sz w:val="16"/>
      <w:szCs w:val="16"/>
    </w:rPr>
  </w:style>
  <w:style w:type="paragraph" w:customStyle="1" w:styleId="210">
    <w:name w:val="Подпись к таблице (2)1"/>
    <w:basedOn w:val="a"/>
    <w:rsid w:val="0075779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1">
    <w:name w:val="Без интервала Знак"/>
    <w:aliases w:val="С интервалом и отступом Знак"/>
    <w:link w:val="af0"/>
    <w:uiPriority w:val="1"/>
    <w:locked/>
    <w:rsid w:val="00757799"/>
    <w:rPr>
      <w:color w:val="000000"/>
    </w:rPr>
  </w:style>
  <w:style w:type="character" w:styleId="af5">
    <w:name w:val="FollowedHyperlink"/>
    <w:basedOn w:val="a0"/>
    <w:uiPriority w:val="99"/>
    <w:semiHidden/>
    <w:unhideWhenUsed/>
    <w:rsid w:val="0070648E"/>
    <w:rPr>
      <w:color w:val="954F72"/>
      <w:u w:val="single"/>
    </w:rPr>
  </w:style>
  <w:style w:type="paragraph" w:customStyle="1" w:styleId="msonormal0">
    <w:name w:val="msonormal"/>
    <w:basedOn w:val="a"/>
    <w:rsid w:val="007064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7064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3">
    <w:name w:val="xl73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06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lang w:bidi="ar-SA"/>
    </w:rPr>
  </w:style>
  <w:style w:type="paragraph" w:customStyle="1" w:styleId="xl78">
    <w:name w:val="xl78"/>
    <w:basedOn w:val="a"/>
    <w:rsid w:val="007064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9">
    <w:name w:val="xl79"/>
    <w:basedOn w:val="a"/>
    <w:rsid w:val="00706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0">
    <w:name w:val="xl80"/>
    <w:basedOn w:val="a"/>
    <w:rsid w:val="007064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Body Text"/>
    <w:basedOn w:val="a"/>
    <w:link w:val="af7"/>
    <w:uiPriority w:val="1"/>
    <w:qFormat/>
    <w:rsid w:val="0082089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7">
    <w:name w:val="Основной текст Знак"/>
    <w:basedOn w:val="a0"/>
    <w:link w:val="af6"/>
    <w:uiPriority w:val="1"/>
    <w:rsid w:val="0082089C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0994-514D-4EC1-AFA4-9E368B3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30</cp:revision>
  <cp:lastPrinted>2022-06-25T07:45:00Z</cp:lastPrinted>
  <dcterms:created xsi:type="dcterms:W3CDTF">2020-08-17T07:35:00Z</dcterms:created>
  <dcterms:modified xsi:type="dcterms:W3CDTF">2023-11-27T01:14:00Z</dcterms:modified>
</cp:coreProperties>
</file>